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FE" w:rsidRPr="00310A2C" w:rsidRDefault="00310A2C" w:rsidP="001D163D">
      <w:pPr>
        <w:jc w:val="both"/>
        <w:rPr>
          <w:sz w:val="32"/>
          <w:szCs w:val="32"/>
        </w:rPr>
      </w:pPr>
      <w:bookmarkStart w:id="0" w:name="_GoBack"/>
      <w:bookmarkEnd w:id="0"/>
      <w:r w:rsidRPr="00310A2C">
        <w:rPr>
          <w:rFonts w:eastAsia="Calibri"/>
          <w:sz w:val="32"/>
          <w:szCs w:val="32"/>
        </w:rPr>
        <w:t>Klasa4</w:t>
      </w:r>
    </w:p>
    <w:p w:rsidR="00226BFE" w:rsidRPr="00AB77AA" w:rsidRDefault="00226BFE" w:rsidP="00AB77AA">
      <w:pPr>
        <w:rPr>
          <w:b/>
          <w:bCs/>
        </w:rPr>
      </w:pPr>
      <w:r>
        <w:rPr>
          <w:b/>
          <w:bCs/>
        </w:rPr>
        <w:t xml:space="preserve">1. </w:t>
      </w:r>
      <w:r w:rsidRPr="001D163D">
        <w:rPr>
          <w:b/>
          <w:bCs/>
          <w:sz w:val="22"/>
          <w:szCs w:val="22"/>
        </w:rPr>
        <w:t>RACHUNEK PRAWDOPODOBIEŃSTWA</w:t>
      </w:r>
    </w:p>
    <w:p w:rsidR="00226BFE" w:rsidRPr="001D163D" w:rsidRDefault="00226BFE" w:rsidP="00226BFE">
      <w:pPr>
        <w:jc w:val="both"/>
        <w:rPr>
          <w:sz w:val="22"/>
          <w:szCs w:val="22"/>
        </w:rPr>
      </w:pPr>
      <w:r w:rsidRPr="001D163D">
        <w:rPr>
          <w:sz w:val="22"/>
          <w:szCs w:val="22"/>
        </w:rPr>
        <w:t xml:space="preserve">Uczeń otrzymuje ocenę </w:t>
      </w:r>
      <w:r w:rsidRPr="001D163D">
        <w:rPr>
          <w:b/>
          <w:bCs/>
          <w:sz w:val="22"/>
          <w:szCs w:val="22"/>
        </w:rPr>
        <w:t>dopuszczającą</w:t>
      </w:r>
      <w:r w:rsidRPr="001D163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1D163D" w:rsidTr="00641C97">
        <w:tc>
          <w:tcPr>
            <w:tcW w:w="9062" w:type="dxa"/>
          </w:tcPr>
          <w:p w:rsidR="00226BFE" w:rsidRPr="001D163D" w:rsidRDefault="001C34CF" w:rsidP="00226BFE">
            <w:pPr>
              <w:numPr>
                <w:ilvl w:val="0"/>
                <w:numId w:val="1"/>
              </w:numPr>
              <w:rPr>
                <w:bCs/>
              </w:rPr>
            </w:pPr>
            <w:r>
              <w:rPr>
                <w:bCs/>
                <w:sz w:val="22"/>
                <w:szCs w:val="22"/>
              </w:rPr>
              <w:t>w</w:t>
            </w:r>
            <w:r w:rsidR="00226BFE" w:rsidRPr="001D163D">
              <w:rPr>
                <w:bCs/>
                <w:sz w:val="22"/>
                <w:szCs w:val="22"/>
              </w:rPr>
              <w:t>ypisuje</w:t>
            </w:r>
            <w:r w:rsidR="00B46355" w:rsidRPr="001D163D">
              <w:rPr>
                <w:bCs/>
                <w:sz w:val="22"/>
                <w:szCs w:val="22"/>
              </w:rPr>
              <w:t xml:space="preserve"> wszystkie możliwe</w:t>
            </w:r>
            <w:r w:rsidR="00226BFE" w:rsidRPr="001D163D">
              <w:rPr>
                <w:bCs/>
                <w:sz w:val="22"/>
                <w:szCs w:val="22"/>
              </w:rPr>
              <w:t xml:space="preserve"> wyniki danego doświadczenia</w:t>
            </w:r>
          </w:p>
        </w:tc>
      </w:tr>
      <w:tr w:rsidR="00226BFE" w:rsidRPr="001D163D" w:rsidTr="00641C97">
        <w:tc>
          <w:tcPr>
            <w:tcW w:w="906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bCs/>
                <w:sz w:val="22"/>
                <w:szCs w:val="22"/>
              </w:rPr>
              <w:t xml:space="preserve">stosuje regułę mnożenia </w:t>
            </w:r>
            <w:r w:rsidR="001D163D" w:rsidRPr="001D163D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A164F4">
              <w:rPr>
                <w:bCs/>
                <w:sz w:val="22"/>
                <w:szCs w:val="22"/>
              </w:rPr>
              <w:t xml:space="preserve"> – </w:t>
            </w:r>
            <w:r w:rsidR="001C34CF" w:rsidRPr="001D163D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226BFE" w:rsidRPr="001D163D" w:rsidTr="00641C97">
        <w:tc>
          <w:tcPr>
            <w:tcW w:w="9062" w:type="dxa"/>
          </w:tcPr>
          <w:p w:rsidR="00226BFE" w:rsidRPr="001D163D" w:rsidRDefault="00226BFE" w:rsidP="00467504">
            <w:pPr>
              <w:numPr>
                <w:ilvl w:val="0"/>
                <w:numId w:val="1"/>
              </w:numPr>
            </w:pPr>
            <w:r w:rsidRPr="001D163D">
              <w:rPr>
                <w:sz w:val="22"/>
                <w:szCs w:val="22"/>
              </w:rPr>
              <w:t xml:space="preserve">stosuje regułę dodawania do </w:t>
            </w:r>
            <w:r w:rsidR="00B46355" w:rsidRPr="001D163D">
              <w:rPr>
                <w:sz w:val="22"/>
                <w:szCs w:val="22"/>
              </w:rPr>
              <w:t xml:space="preserve">obliczania </w:t>
            </w:r>
            <w:r w:rsidRPr="001D163D">
              <w:rPr>
                <w:sz w:val="22"/>
                <w:szCs w:val="22"/>
              </w:rPr>
              <w:t>liczby wyników doświadczenia spełniających dany warunek</w:t>
            </w:r>
            <w:r w:rsidR="009B2599">
              <w:rPr>
                <w:sz w:val="22"/>
                <w:szCs w:val="22"/>
              </w:rPr>
              <w:t xml:space="preserve"> – </w:t>
            </w:r>
            <w:r w:rsidR="001C34CF" w:rsidRPr="001D163D">
              <w:rPr>
                <w:sz w:val="22"/>
                <w:szCs w:val="22"/>
              </w:rPr>
              <w:t xml:space="preserve">w prostych </w:t>
            </w:r>
            <w:r w:rsidR="001C34CF">
              <w:rPr>
                <w:sz w:val="22"/>
                <w:szCs w:val="22"/>
              </w:rPr>
              <w:t>s</w:t>
            </w:r>
            <w:r w:rsidR="001C34CF" w:rsidRPr="001D163D">
              <w:rPr>
                <w:sz w:val="22"/>
                <w:szCs w:val="22"/>
              </w:rPr>
              <w:t xml:space="preserve">ytuacjach 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t xml:space="preserve">określa </w:t>
            </w:r>
            <w:r w:rsidR="00B46355" w:rsidRPr="00B35F93">
              <w:rPr>
                <w:bCs/>
                <w:sz w:val="22"/>
                <w:szCs w:val="22"/>
              </w:rPr>
              <w:t xml:space="preserve">przestrzeń </w:t>
            </w:r>
            <w:r w:rsidR="00B35F93">
              <w:rPr>
                <w:bCs/>
                <w:sz w:val="22"/>
                <w:szCs w:val="22"/>
              </w:rPr>
              <w:t>(</w:t>
            </w:r>
            <w:r w:rsidRPr="00B35F93">
              <w:rPr>
                <w:bCs/>
                <w:sz w:val="22"/>
                <w:szCs w:val="22"/>
              </w:rPr>
              <w:t>zbiór</w:t>
            </w:r>
            <w:r w:rsidR="00B35F93">
              <w:rPr>
                <w:bCs/>
                <w:sz w:val="22"/>
                <w:szCs w:val="22"/>
              </w:rPr>
              <w:t>)</w:t>
            </w:r>
            <w:r w:rsidRPr="00B35F93">
              <w:rPr>
                <w:bCs/>
                <w:sz w:val="22"/>
                <w:szCs w:val="22"/>
              </w:rPr>
              <w:t xml:space="preserve">zdarzeń elementarnych </w:t>
            </w:r>
            <w:r w:rsidR="00E84FB6" w:rsidRPr="00B35F93">
              <w:rPr>
                <w:bCs/>
                <w:sz w:val="22"/>
                <w:szCs w:val="22"/>
              </w:rPr>
              <w:t xml:space="preserve">dla </w:t>
            </w:r>
            <w:r w:rsidRPr="00B35F93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226BFE" w:rsidRPr="00B35F93" w:rsidTr="0007420B">
        <w:tc>
          <w:tcPr>
            <w:tcW w:w="9062" w:type="dxa"/>
            <w:tcBorders>
              <w:bottom w:val="single" w:sz="4" w:space="0" w:color="auto"/>
            </w:tcBorders>
          </w:tcPr>
          <w:p w:rsidR="00226BFE" w:rsidRPr="00B35F93" w:rsidRDefault="00E84FB6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 xml:space="preserve">opisuje wyniki </w:t>
            </w:r>
            <w:r w:rsidR="00226BFE" w:rsidRPr="00B35F93">
              <w:rPr>
                <w:sz w:val="22"/>
                <w:szCs w:val="22"/>
              </w:rPr>
              <w:t>sprzyjając</w:t>
            </w:r>
            <w:r w:rsidRPr="00B35F93">
              <w:rPr>
                <w:sz w:val="22"/>
                <w:szCs w:val="22"/>
              </w:rPr>
              <w:t>e</w:t>
            </w:r>
            <w:r w:rsidR="00226BFE" w:rsidRPr="00B35F93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07420B" w:rsidRPr="00B35F93" w:rsidTr="0007420B">
        <w:tc>
          <w:tcPr>
            <w:tcW w:w="9062" w:type="dxa"/>
            <w:tcBorders>
              <w:bottom w:val="single" w:sz="4" w:space="0" w:color="auto"/>
            </w:tcBorders>
          </w:tcPr>
          <w:p w:rsidR="0007420B" w:rsidRPr="00B35F93" w:rsidRDefault="0007420B" w:rsidP="0007420B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>
              <w:rPr>
                <w:sz w:val="22"/>
                <w:szCs w:val="22"/>
              </w:rPr>
              <w:t xml:space="preserve"> – </w:t>
            </w:r>
            <w:r w:rsidRPr="00B35F93">
              <w:rPr>
                <w:sz w:val="22"/>
                <w:szCs w:val="22"/>
              </w:rPr>
              <w:t xml:space="preserve">w </w:t>
            </w:r>
            <w:r>
              <w:rPr>
                <w:sz w:val="22"/>
                <w:szCs w:val="22"/>
              </w:rPr>
              <w:t>najprostszych</w:t>
            </w:r>
            <w:r w:rsidRPr="00B35F93">
              <w:rPr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07420B" w:rsidRPr="00B35F93" w:rsidTr="0007420B">
        <w:tc>
          <w:tcPr>
            <w:tcW w:w="9062" w:type="dxa"/>
            <w:tcBorders>
              <w:left w:val="nil"/>
              <w:right w:val="nil"/>
            </w:tcBorders>
          </w:tcPr>
          <w:p w:rsidR="0007420B" w:rsidRDefault="0007420B" w:rsidP="0007420B">
            <w:pPr>
              <w:jc w:val="both"/>
            </w:pPr>
          </w:p>
          <w:p w:rsidR="0007420B" w:rsidRPr="00B35F93" w:rsidRDefault="0007420B" w:rsidP="0007420B">
            <w:pPr>
              <w:jc w:val="both"/>
            </w:pPr>
            <w:r w:rsidRPr="00B35F93">
              <w:rPr>
                <w:sz w:val="22"/>
                <w:szCs w:val="22"/>
              </w:rPr>
              <w:t xml:space="preserve">Uczeń otrzymuje ocenę </w:t>
            </w:r>
            <w:r w:rsidRPr="00B35F93">
              <w:rPr>
                <w:b/>
                <w:bCs/>
                <w:sz w:val="22"/>
                <w:szCs w:val="22"/>
              </w:rPr>
              <w:t>do</w:t>
            </w:r>
            <w:r>
              <w:rPr>
                <w:b/>
                <w:bCs/>
                <w:sz w:val="22"/>
                <w:szCs w:val="22"/>
              </w:rPr>
              <w:t>stateczną</w:t>
            </w:r>
            <w:r>
              <w:rPr>
                <w:sz w:val="22"/>
                <w:szCs w:val="22"/>
              </w:rPr>
              <w:t>, jeśli opanował poziom niższy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określa zdarzenia</w:t>
            </w:r>
            <w:r w:rsidR="00B35F93">
              <w:rPr>
                <w:sz w:val="22"/>
                <w:szCs w:val="22"/>
              </w:rPr>
              <w:t>:</w:t>
            </w:r>
            <w:r w:rsidRPr="00B35F93">
              <w:rPr>
                <w:sz w:val="22"/>
                <w:szCs w:val="22"/>
              </w:rPr>
              <w:t xml:space="preserve"> przeciwne, niemożliwe, pewne i wykluczające się</w:t>
            </w:r>
          </w:p>
        </w:tc>
      </w:tr>
      <w:tr w:rsidR="0007420B" w:rsidRPr="00B35F93" w:rsidTr="00641C97">
        <w:tc>
          <w:tcPr>
            <w:tcW w:w="9062" w:type="dxa"/>
          </w:tcPr>
          <w:p w:rsidR="0007420B" w:rsidRPr="00B35F93" w:rsidRDefault="0007420B" w:rsidP="00B35F93">
            <w:pPr>
              <w:numPr>
                <w:ilvl w:val="0"/>
                <w:numId w:val="1"/>
              </w:numPr>
            </w:pPr>
            <w:r w:rsidRPr="001D163D">
              <w:rPr>
                <w:bCs/>
                <w:sz w:val="22"/>
                <w:szCs w:val="22"/>
              </w:rPr>
              <w:t>przedstawia drzewo ilustrujące wyniki danego doświadczenia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1D163D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0D72D4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typowych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sz w:val="22"/>
                <w:szCs w:val="22"/>
              </w:rPr>
              <w:t>stosuje twierdzenie o prawdopodobieństwie sumy zdarzeń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prostych sytuacjach</w:t>
            </w:r>
          </w:p>
        </w:tc>
      </w:tr>
    </w:tbl>
    <w:p w:rsidR="00226BFE" w:rsidRPr="00B35F93" w:rsidRDefault="00226BFE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, </w:t>
      </w:r>
      <w:r w:rsidR="0007420B">
        <w:rPr>
          <w:sz w:val="22"/>
          <w:szCs w:val="22"/>
        </w:rPr>
        <w:t>jeśli opanował poziomy niższe</w:t>
      </w:r>
      <w:r w:rsidRPr="00B35F93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:rsidTr="00641C97">
        <w:tc>
          <w:tcPr>
            <w:tcW w:w="9062" w:type="dxa"/>
          </w:tcPr>
          <w:p w:rsidR="00226BFE" w:rsidRPr="00B35F93" w:rsidRDefault="00226BFE" w:rsidP="00A1307F">
            <w:pPr>
              <w:numPr>
                <w:ilvl w:val="0"/>
                <w:numId w:val="1"/>
              </w:numPr>
            </w:pPr>
            <w:r w:rsidRPr="00B35F93">
              <w:rPr>
                <w:bCs/>
                <w:sz w:val="22"/>
                <w:szCs w:val="22"/>
              </w:rPr>
              <w:t xml:space="preserve">stosuje regułę mnożenia </w:t>
            </w:r>
            <w:r w:rsidR="008B64C1" w:rsidRPr="00B35F93">
              <w:rPr>
                <w:bCs/>
                <w:sz w:val="22"/>
                <w:szCs w:val="22"/>
              </w:rPr>
              <w:t xml:space="preserve">i regułę dodawania </w:t>
            </w:r>
            <w:r w:rsidRPr="00B35F93">
              <w:rPr>
                <w:bCs/>
                <w:sz w:val="22"/>
                <w:szCs w:val="22"/>
              </w:rPr>
              <w:t xml:space="preserve">do </w:t>
            </w:r>
            <w:r w:rsidR="004A4DE5" w:rsidRPr="00B35F93">
              <w:rPr>
                <w:bCs/>
                <w:sz w:val="22"/>
                <w:szCs w:val="22"/>
              </w:rPr>
              <w:t xml:space="preserve">obliczania </w:t>
            </w:r>
            <w:r w:rsidRPr="00B35F93">
              <w:rPr>
                <w:bCs/>
                <w:sz w:val="22"/>
                <w:szCs w:val="22"/>
              </w:rPr>
              <w:t>liczby wyników doświadczenia spełniających dany warunek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07420B" w:rsidRPr="00B35F93" w:rsidTr="00641C97">
        <w:tc>
          <w:tcPr>
            <w:tcW w:w="9062" w:type="dxa"/>
          </w:tcPr>
          <w:p w:rsidR="0007420B" w:rsidRPr="00B35F93" w:rsidRDefault="0007420B" w:rsidP="0007420B">
            <w:pPr>
              <w:numPr>
                <w:ilvl w:val="0"/>
                <w:numId w:val="1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>
              <w:rPr>
                <w:sz w:val="22"/>
                <w:szCs w:val="22"/>
              </w:rPr>
              <w:t xml:space="preserve"> – </w:t>
            </w:r>
            <w:r w:rsidRPr="00B35F93">
              <w:rPr>
                <w:sz w:val="22"/>
                <w:szCs w:val="22"/>
              </w:rPr>
              <w:t xml:space="preserve">w </w:t>
            </w:r>
            <w:r>
              <w:rPr>
                <w:sz w:val="22"/>
                <w:szCs w:val="22"/>
              </w:rPr>
              <w:t>trudniejszych</w:t>
            </w:r>
            <w:r w:rsidRPr="00B35F93">
              <w:rPr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07420B" w:rsidRPr="00B35F93" w:rsidTr="0007420B">
        <w:tc>
          <w:tcPr>
            <w:tcW w:w="9062" w:type="dxa"/>
            <w:tcBorders>
              <w:left w:val="nil"/>
              <w:right w:val="nil"/>
            </w:tcBorders>
          </w:tcPr>
          <w:p w:rsidR="0007420B" w:rsidRDefault="0007420B" w:rsidP="0007420B">
            <w:pPr>
              <w:jc w:val="both"/>
            </w:pPr>
          </w:p>
          <w:p w:rsidR="0007420B" w:rsidRPr="00B35F93" w:rsidRDefault="0007420B" w:rsidP="0007420B">
            <w:pPr>
              <w:jc w:val="both"/>
            </w:pPr>
            <w:r w:rsidRPr="00B35F93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B35F93">
              <w:rPr>
                <w:b/>
                <w:bCs/>
                <w:sz w:val="22"/>
                <w:szCs w:val="22"/>
              </w:rPr>
              <w:t>bardzo dobrą</w:t>
            </w:r>
            <w:r w:rsidRPr="00B35F9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4A4DE5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wyznacza sumę, iloczyn i różnicę zdarzeń losowych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A1307F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 xml:space="preserve">w złożonych </w:t>
            </w:r>
            <w:r w:rsidR="00A1307F" w:rsidRPr="00B35F93">
              <w:rPr>
                <w:bCs/>
                <w:sz w:val="22"/>
                <w:szCs w:val="22"/>
              </w:rPr>
              <w:t>sytuacjach</w:t>
            </w:r>
          </w:p>
        </w:tc>
      </w:tr>
      <w:tr w:rsidR="00226BFE" w:rsidRPr="00B35F93" w:rsidTr="00641C97"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2"/>
              </w:numPr>
            </w:pPr>
            <w:r w:rsidRPr="00B35F93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</w:tbl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</w:p>
    <w:p w:rsidR="00226BFE" w:rsidRPr="00B35F93" w:rsidRDefault="00226BFE" w:rsidP="00226BF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 w:rsidR="0007420B">
        <w:rPr>
          <w:sz w:val="22"/>
          <w:szCs w:val="22"/>
        </w:rPr>
        <w:t xml:space="preserve">niższych </w:t>
      </w:r>
      <w:r w:rsidRPr="00B35F93">
        <w:rPr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A4DE5" w:rsidRPr="00B35F93" w:rsidTr="002128C6">
        <w:tc>
          <w:tcPr>
            <w:tcW w:w="9212" w:type="dxa"/>
          </w:tcPr>
          <w:p w:rsidR="004A4DE5" w:rsidRPr="00B35F93" w:rsidRDefault="004A4DE5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pStyle w:val="Tekstpodstawowy"/>
              <w:numPr>
                <w:ilvl w:val="0"/>
                <w:numId w:val="2"/>
              </w:numPr>
              <w:jc w:val="left"/>
            </w:pPr>
            <w:r w:rsidRPr="00B35F93">
              <w:rPr>
                <w:sz w:val="22"/>
                <w:szCs w:val="22"/>
              </w:rPr>
              <w:t>rozwiązuje zadania o znacznym stopniu trudności dotyczące prawdopodobieństwa</w:t>
            </w:r>
          </w:p>
        </w:tc>
      </w:tr>
    </w:tbl>
    <w:p w:rsidR="00226BFE" w:rsidRPr="00B35F93" w:rsidRDefault="00226BFE" w:rsidP="00226BFE">
      <w:pPr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795724" w:rsidRPr="00B35F93" w:rsidRDefault="00F1187A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2. GRANIASTOSŁUPY I OSTROSŁUPY</w:t>
      </w:r>
    </w:p>
    <w:p w:rsidR="00226BFE" w:rsidRPr="00B35F93" w:rsidRDefault="00226BFE" w:rsidP="00226BFE">
      <w:pPr>
        <w:jc w:val="both"/>
        <w:rPr>
          <w:b/>
          <w:bCs/>
          <w:sz w:val="22"/>
          <w:szCs w:val="22"/>
        </w:rPr>
      </w:pP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dopuszczającą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:rsidTr="00641C97"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w wielościanie proste prostopadłe, równoległe i skośne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wskazuje w wielościanie rzut prostokątny danego odcinka na daną płaszczyznę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określa liczb</w:t>
            </w:r>
            <w:r w:rsidR="00F1187A" w:rsidRPr="00B35F93">
              <w:rPr>
                <w:sz w:val="22"/>
                <w:szCs w:val="22"/>
              </w:rPr>
              <w:t>ę</w:t>
            </w:r>
            <w:r w:rsidRPr="00B35F93">
              <w:rPr>
                <w:sz w:val="22"/>
                <w:szCs w:val="22"/>
              </w:rPr>
              <w:t xml:space="preserve"> ścian, wierzchołków i krawędzi wielościanu</w:t>
            </w:r>
            <w:r w:rsidR="00F1187A" w:rsidRPr="00B35F93">
              <w:rPr>
                <w:sz w:val="22"/>
                <w:szCs w:val="22"/>
              </w:rPr>
              <w:t>; sprawdza, czy istnieje graniastosłup o danej liczbie krawędzi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wskazuje elementy </w:t>
            </w:r>
            <w:r w:rsidR="00F1187A" w:rsidRPr="00B35F93">
              <w:rPr>
                <w:sz w:val="22"/>
                <w:szCs w:val="22"/>
              </w:rPr>
              <w:t>charaktery</w:t>
            </w:r>
            <w:r w:rsidR="00B35F93">
              <w:rPr>
                <w:sz w:val="22"/>
                <w:szCs w:val="22"/>
              </w:rPr>
              <w:t>styczne</w:t>
            </w:r>
            <w:r w:rsidR="000650AB">
              <w:rPr>
                <w:sz w:val="22"/>
                <w:szCs w:val="22"/>
              </w:rPr>
              <w:t xml:space="preserve"> wielościanu(np. </w:t>
            </w:r>
            <w:r w:rsidRPr="00B35F93">
              <w:rPr>
                <w:sz w:val="22"/>
                <w:szCs w:val="22"/>
              </w:rPr>
              <w:t>wierzchołek ostrosłupa)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</w:t>
            </w:r>
            <w:r w:rsidR="00F1187A" w:rsidRPr="00B35F93">
              <w:rPr>
                <w:sz w:val="22"/>
                <w:szCs w:val="22"/>
              </w:rPr>
              <w:t>e</w:t>
            </w:r>
            <w:r w:rsidRPr="00B35F93">
              <w:rPr>
                <w:sz w:val="22"/>
                <w:szCs w:val="22"/>
              </w:rPr>
              <w:t xml:space="preserve"> powierzchni bocznej i całkowitej graniastosłupa </w:t>
            </w:r>
            <w:r w:rsidR="009B2599">
              <w:rPr>
                <w:sz w:val="22"/>
                <w:szCs w:val="22"/>
              </w:rPr>
              <w:t>oraz</w:t>
            </w:r>
            <w:r w:rsidRPr="00B35F93">
              <w:rPr>
                <w:sz w:val="22"/>
                <w:szCs w:val="22"/>
              </w:rPr>
              <w:t xml:space="preserve"> ostrosłupa 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rysuj</w:t>
            </w:r>
            <w:r w:rsidR="002F1944" w:rsidRPr="00B35F93">
              <w:rPr>
                <w:sz w:val="22"/>
                <w:szCs w:val="22"/>
              </w:rPr>
              <w:t>e siatkę wielościanu na podstawie</w:t>
            </w:r>
            <w:r w:rsidRPr="00B35F93">
              <w:rPr>
                <w:sz w:val="22"/>
                <w:szCs w:val="22"/>
              </w:rPr>
              <w:t xml:space="preserve"> jej fragment</w:t>
            </w:r>
            <w:r w:rsidR="002F1944" w:rsidRPr="00B35F93">
              <w:rPr>
                <w:sz w:val="22"/>
                <w:szCs w:val="22"/>
              </w:rPr>
              <w:t>u</w:t>
            </w:r>
          </w:p>
        </w:tc>
      </w:tr>
      <w:tr w:rsidR="000650AB" w:rsidRPr="00B35F93" w:rsidTr="000650AB">
        <w:trPr>
          <w:trHeight w:val="30"/>
        </w:trPr>
        <w:tc>
          <w:tcPr>
            <w:tcW w:w="9062" w:type="dxa"/>
            <w:tcBorders>
              <w:bottom w:val="single" w:sz="4" w:space="0" w:color="auto"/>
            </w:tcBorders>
          </w:tcPr>
          <w:p w:rsidR="000650AB" w:rsidRPr="00B35F93" w:rsidRDefault="000650AB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objętość graniastosłupa prostego i ostrosłupa prawidłowego</w:t>
            </w:r>
            <w:r>
              <w:rPr>
                <w:sz w:val="22"/>
                <w:szCs w:val="22"/>
              </w:rPr>
              <w:t xml:space="preserve"> w najprostszych przypadkach</w:t>
            </w:r>
          </w:p>
        </w:tc>
      </w:tr>
      <w:tr w:rsidR="00226BFE" w:rsidRPr="00B35F93" w:rsidTr="000650AB">
        <w:trPr>
          <w:trHeight w:val="30"/>
        </w:trPr>
        <w:tc>
          <w:tcPr>
            <w:tcW w:w="9062" w:type="dxa"/>
            <w:tcBorders>
              <w:bottom w:val="single" w:sz="4" w:space="0" w:color="auto"/>
            </w:tcBorders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lastRenderedPageBreak/>
              <w:t>oblicza długości przekątnych graniastosłupa prostego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0650AB" w:rsidRPr="00B35F93" w:rsidTr="000650AB">
        <w:trPr>
          <w:trHeight w:val="112"/>
        </w:trPr>
        <w:tc>
          <w:tcPr>
            <w:tcW w:w="9062" w:type="dxa"/>
            <w:tcBorders>
              <w:left w:val="nil"/>
              <w:right w:val="nil"/>
            </w:tcBorders>
          </w:tcPr>
          <w:p w:rsidR="000650AB" w:rsidRDefault="000650AB" w:rsidP="000650AB"/>
          <w:p w:rsidR="000650AB" w:rsidRPr="00B35F93" w:rsidRDefault="000650AB" w:rsidP="000650AB">
            <w:r w:rsidRPr="00B35F93">
              <w:rPr>
                <w:sz w:val="22"/>
                <w:szCs w:val="22"/>
              </w:rPr>
              <w:t xml:space="preserve">Uczeń otrzymuje ocenę </w:t>
            </w:r>
            <w:r w:rsidRPr="00B35F93">
              <w:rPr>
                <w:b/>
                <w:bCs/>
                <w:sz w:val="22"/>
                <w:szCs w:val="22"/>
              </w:rPr>
              <w:t>do</w:t>
            </w:r>
            <w:r>
              <w:rPr>
                <w:b/>
                <w:bCs/>
                <w:sz w:val="22"/>
                <w:szCs w:val="22"/>
              </w:rPr>
              <w:t>stateczną</w:t>
            </w:r>
            <w:r>
              <w:rPr>
                <w:sz w:val="22"/>
                <w:szCs w:val="22"/>
              </w:rPr>
              <w:t>, jeśli opanował poziom niższy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oblicza objętoś</w:t>
            </w:r>
            <w:r w:rsidR="00F1187A" w:rsidRPr="00B35F93">
              <w:rPr>
                <w:sz w:val="22"/>
                <w:szCs w:val="22"/>
              </w:rPr>
              <w:t>ć</w:t>
            </w:r>
            <w:r w:rsidRPr="00B35F93">
              <w:rPr>
                <w:sz w:val="22"/>
                <w:szCs w:val="22"/>
              </w:rPr>
              <w:t xml:space="preserve"> graniastosłupa </w:t>
            </w:r>
            <w:r w:rsidR="00F1187A" w:rsidRPr="00B35F93">
              <w:rPr>
                <w:sz w:val="22"/>
                <w:szCs w:val="22"/>
              </w:rPr>
              <w:t xml:space="preserve">prostego </w:t>
            </w:r>
            <w:r w:rsidRPr="00B35F93">
              <w:rPr>
                <w:sz w:val="22"/>
                <w:szCs w:val="22"/>
              </w:rPr>
              <w:t>i ostrosłupa prawidłowego</w:t>
            </w:r>
            <w:r w:rsidR="000650AB">
              <w:rPr>
                <w:sz w:val="22"/>
                <w:szCs w:val="22"/>
              </w:rPr>
              <w:t xml:space="preserve"> 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kąty między odcinkami w ostrosłupie a płaszczyzną jego podstawy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wskazuje kąt między sąsiednimi ścianami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typowe zadania dotyczące kąta między prostą a płaszczyzną 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226BFE" w:rsidP="00B35F93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9B25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</w:tbl>
    <w:p w:rsidR="00226BFE" w:rsidRPr="00B35F93" w:rsidRDefault="00226BFE" w:rsidP="00226BFE">
      <w:pPr>
        <w:jc w:val="both"/>
        <w:rPr>
          <w:sz w:val="22"/>
          <w:szCs w:val="22"/>
        </w:rPr>
      </w:pPr>
    </w:p>
    <w:p w:rsidR="00226BFE" w:rsidRPr="000650AB" w:rsidRDefault="000650AB" w:rsidP="000650AB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, </w:t>
      </w:r>
      <w:r>
        <w:rPr>
          <w:sz w:val="22"/>
          <w:szCs w:val="22"/>
        </w:rPr>
        <w:t>jeśli opanował poziomy niższe</w:t>
      </w:r>
      <w:r w:rsidRPr="00B35F93">
        <w:rPr>
          <w:sz w:val="22"/>
          <w:szCs w:val="22"/>
        </w:rPr>
        <w:t xml:space="preserve"> oraz dodatkowo:</w:t>
      </w:r>
      <w:r w:rsidR="00226BFE" w:rsidRPr="00B35F93">
        <w:rPr>
          <w:b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  <w:rPr>
                <w:bCs/>
                <w:color w:val="000000"/>
              </w:rPr>
            </w:pPr>
            <w:r w:rsidRPr="00B35F93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226BFE" w:rsidRPr="00B35F93" w:rsidTr="00641C97">
        <w:trPr>
          <w:trHeight w:val="30"/>
        </w:trPr>
        <w:tc>
          <w:tcPr>
            <w:tcW w:w="906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i przekształca wzory na pola powierzchni i objętości wielościan</w:t>
            </w:r>
            <w:r w:rsidR="00E32573" w:rsidRPr="00B35F93">
              <w:rPr>
                <w:sz w:val="22"/>
                <w:szCs w:val="22"/>
              </w:rPr>
              <w:t>ów</w:t>
            </w:r>
          </w:p>
        </w:tc>
      </w:tr>
      <w:tr w:rsidR="00226BFE" w:rsidRPr="00B35F93" w:rsidTr="000650AB">
        <w:trPr>
          <w:trHeight w:val="112"/>
        </w:trPr>
        <w:tc>
          <w:tcPr>
            <w:tcW w:w="9062" w:type="dxa"/>
            <w:tcBorders>
              <w:bottom w:val="single" w:sz="4" w:space="0" w:color="auto"/>
            </w:tcBorders>
          </w:tcPr>
          <w:p w:rsidR="00137B63" w:rsidRPr="00B35F93" w:rsidRDefault="00E32573" w:rsidP="00137B63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226BFE" w:rsidRPr="00B35F93" w:rsidRDefault="00E32573" w:rsidP="001C34C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wielościanu</w:t>
            </w:r>
            <w:r w:rsidR="009B2599">
              <w:rPr>
                <w:bCs/>
                <w:sz w:val="22"/>
                <w:szCs w:val="22"/>
              </w:rPr>
              <w:t xml:space="preserve"> – </w:t>
            </w:r>
            <w:r w:rsidR="000650AB">
              <w:rPr>
                <w:bCs/>
                <w:sz w:val="22"/>
                <w:szCs w:val="22"/>
              </w:rPr>
              <w:t>w trudniejszych</w:t>
            </w:r>
            <w:r w:rsidR="001C34CF" w:rsidRPr="00B35F93">
              <w:rPr>
                <w:bCs/>
                <w:sz w:val="22"/>
                <w:szCs w:val="22"/>
              </w:rPr>
              <w:t xml:space="preserve"> sytuacjach</w:t>
            </w:r>
          </w:p>
        </w:tc>
      </w:tr>
      <w:tr w:rsidR="000650AB" w:rsidRPr="00B35F93" w:rsidTr="000650AB">
        <w:trPr>
          <w:trHeight w:val="112"/>
        </w:trPr>
        <w:tc>
          <w:tcPr>
            <w:tcW w:w="9062" w:type="dxa"/>
            <w:tcBorders>
              <w:left w:val="nil"/>
              <w:right w:val="nil"/>
            </w:tcBorders>
          </w:tcPr>
          <w:p w:rsidR="000650AB" w:rsidRDefault="000650AB" w:rsidP="000650AB"/>
          <w:p w:rsidR="000650AB" w:rsidRPr="00B35F93" w:rsidRDefault="000650AB" w:rsidP="000650AB">
            <w:r w:rsidRPr="00B35F93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B35F93">
              <w:rPr>
                <w:b/>
                <w:bCs/>
                <w:sz w:val="22"/>
                <w:szCs w:val="22"/>
              </w:rPr>
              <w:t>bardzo dobrą</w:t>
            </w:r>
            <w:r w:rsidRPr="00B35F9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0650AB" w:rsidRPr="00B35F93" w:rsidTr="00641C97">
        <w:trPr>
          <w:trHeight w:val="112"/>
        </w:trPr>
        <w:tc>
          <w:tcPr>
            <w:tcW w:w="9062" w:type="dxa"/>
          </w:tcPr>
          <w:p w:rsidR="000650AB" w:rsidRPr="00B35F93" w:rsidRDefault="000650AB" w:rsidP="000650AB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0650AB" w:rsidRPr="00B35F93" w:rsidRDefault="000650AB" w:rsidP="000650AB">
            <w:pPr>
              <w:numPr>
                <w:ilvl w:val="0"/>
                <w:numId w:val="4"/>
              </w:numPr>
            </w:pPr>
            <w:r w:rsidRPr="00B35F93">
              <w:rPr>
                <w:bCs/>
                <w:sz w:val="22"/>
                <w:szCs w:val="22"/>
              </w:rPr>
              <w:t>do obliczenia pola powierzchni i objętości wielościanu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226BFE" w:rsidRPr="00B35F93" w:rsidTr="00641C97">
        <w:trPr>
          <w:trHeight w:val="112"/>
        </w:trPr>
        <w:tc>
          <w:tcPr>
            <w:tcW w:w="9062" w:type="dxa"/>
          </w:tcPr>
          <w:p w:rsidR="00226BFE" w:rsidRPr="00B35F93" w:rsidRDefault="00ED2234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oblicza miarę kąta dwuściennego między ścianami wielościanu</w:t>
            </w:r>
          </w:p>
        </w:tc>
      </w:tr>
      <w:tr w:rsidR="0064472E" w:rsidRPr="00B35F93" w:rsidTr="00641C97">
        <w:trPr>
          <w:trHeight w:val="112"/>
        </w:trPr>
        <w:tc>
          <w:tcPr>
            <w:tcW w:w="9062" w:type="dxa"/>
          </w:tcPr>
          <w:p w:rsidR="0064472E" w:rsidRPr="00B35F93" w:rsidRDefault="0064472E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F52EF0">
              <w:rPr>
                <w:sz w:val="22"/>
                <w:szCs w:val="22"/>
              </w:rPr>
              <w:t> </w:t>
            </w:r>
            <w:r w:rsidRPr="00B35F93">
              <w:rPr>
                <w:sz w:val="22"/>
                <w:szCs w:val="22"/>
              </w:rPr>
              <w:t>wykorzystaniem trygonometrii)</w:t>
            </w:r>
            <w:r w:rsidR="00F52EF0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</w:tbl>
    <w:p w:rsidR="0034129D" w:rsidRPr="00B35F93" w:rsidRDefault="0034129D" w:rsidP="00226BFE">
      <w:pPr>
        <w:jc w:val="both"/>
        <w:rPr>
          <w:sz w:val="22"/>
          <w:szCs w:val="22"/>
        </w:rPr>
      </w:pPr>
    </w:p>
    <w:p w:rsidR="0034129D" w:rsidRPr="00B35F93" w:rsidRDefault="000650AB" w:rsidP="000650AB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niższych </w:t>
      </w:r>
      <w:r w:rsidRPr="00B35F93">
        <w:rPr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rozwiązuje zadania o znacznym stopniu trudności dotyczące </w:t>
            </w:r>
            <w:r w:rsidR="0034129D" w:rsidRPr="00B35F93">
              <w:rPr>
                <w:sz w:val="22"/>
                <w:szCs w:val="22"/>
              </w:rPr>
              <w:t xml:space="preserve">wielościanów </w:t>
            </w:r>
          </w:p>
        </w:tc>
      </w:tr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przeprowadza dowody twierdzeń dotyczących związków miarowych w wielościanach</w:t>
            </w:r>
          </w:p>
        </w:tc>
      </w:tr>
    </w:tbl>
    <w:p w:rsidR="0064472E" w:rsidRPr="00B35F93" w:rsidRDefault="0064472E" w:rsidP="003B080E">
      <w:pPr>
        <w:pStyle w:val="Nagwek1"/>
        <w:rPr>
          <w:sz w:val="22"/>
          <w:szCs w:val="22"/>
        </w:rPr>
      </w:pPr>
    </w:p>
    <w:p w:rsidR="00446AAC" w:rsidRPr="00B35F93" w:rsidRDefault="00446AAC" w:rsidP="00446AAC">
      <w:pPr>
        <w:rPr>
          <w:sz w:val="22"/>
          <w:szCs w:val="22"/>
        </w:rPr>
      </w:pPr>
    </w:p>
    <w:p w:rsidR="003B080E" w:rsidRPr="00B35F93" w:rsidRDefault="003B080E" w:rsidP="000650AB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3. BRYŁY OBROTOWE</w:t>
      </w:r>
    </w:p>
    <w:p w:rsidR="003B080E" w:rsidRPr="00B35F93" w:rsidRDefault="003B080E" w:rsidP="003B080E">
      <w:pPr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 xml:space="preserve">dopuszczającą </w:t>
      </w:r>
      <w:r w:rsidR="000650AB">
        <w:rPr>
          <w:sz w:val="22"/>
          <w:szCs w:val="22"/>
        </w:rPr>
        <w:t>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304EFD">
            <w:pPr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B35F93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304EFD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zaznacza przekrój osiowy walca i stożka oraz przekroje</w:t>
            </w:r>
            <w:r w:rsidR="00ED2234" w:rsidRPr="00B35F93">
              <w:rPr>
                <w:sz w:val="22"/>
                <w:szCs w:val="22"/>
              </w:rPr>
              <w:t xml:space="preserve"> kuli</w:t>
            </w:r>
          </w:p>
        </w:tc>
      </w:tr>
      <w:tr w:rsidR="003B080E" w:rsidRPr="00B35F93" w:rsidTr="000650AB">
        <w:trPr>
          <w:trHeight w:val="112"/>
        </w:trPr>
        <w:tc>
          <w:tcPr>
            <w:tcW w:w="9212" w:type="dxa"/>
            <w:tcBorders>
              <w:bottom w:val="single" w:sz="4" w:space="0" w:color="auto"/>
            </w:tcBorders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oblicza pole powierzchni i objętość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0650AB" w:rsidRPr="00B35F93" w:rsidTr="000650AB">
        <w:trPr>
          <w:trHeight w:val="112"/>
        </w:trPr>
        <w:tc>
          <w:tcPr>
            <w:tcW w:w="9212" w:type="dxa"/>
            <w:tcBorders>
              <w:left w:val="nil"/>
              <w:right w:val="nil"/>
            </w:tcBorders>
          </w:tcPr>
          <w:p w:rsidR="000650AB" w:rsidRDefault="000650AB" w:rsidP="000650AB"/>
          <w:p w:rsidR="000650AB" w:rsidRPr="00B35F93" w:rsidRDefault="000650AB" w:rsidP="000650AB">
            <w:r w:rsidRPr="00B35F93">
              <w:rPr>
                <w:sz w:val="22"/>
                <w:szCs w:val="22"/>
              </w:rPr>
              <w:t xml:space="preserve">Uczeń otrzymuje ocenę </w:t>
            </w:r>
            <w:r w:rsidRPr="00B35F93">
              <w:rPr>
                <w:b/>
                <w:bCs/>
                <w:sz w:val="22"/>
                <w:szCs w:val="22"/>
              </w:rPr>
              <w:t>do</w:t>
            </w:r>
            <w:r>
              <w:rPr>
                <w:b/>
                <w:bCs/>
                <w:sz w:val="22"/>
                <w:szCs w:val="22"/>
              </w:rPr>
              <w:t>stateczną</w:t>
            </w:r>
            <w:r>
              <w:rPr>
                <w:sz w:val="22"/>
                <w:szCs w:val="22"/>
              </w:rPr>
              <w:t>, jeśli opanował poziom niższy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ED2234" w:rsidRPr="00B35F93" w:rsidTr="00304EFD">
        <w:trPr>
          <w:trHeight w:val="112"/>
        </w:trPr>
        <w:tc>
          <w:tcPr>
            <w:tcW w:w="9212" w:type="dxa"/>
          </w:tcPr>
          <w:p w:rsidR="00ED2234" w:rsidRPr="00B35F93" w:rsidRDefault="00ED2234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rozwiązuje zadania dotyczące rozwinięcia powierzchni bocznej walca i stożka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sytuacjach</w:t>
            </w:r>
          </w:p>
        </w:tc>
      </w:tr>
      <w:tr w:rsidR="003B080E" w:rsidRPr="00B35F93" w:rsidTr="00304EFD">
        <w:trPr>
          <w:trHeight w:val="112"/>
        </w:trPr>
        <w:tc>
          <w:tcPr>
            <w:tcW w:w="9212" w:type="dxa"/>
          </w:tcPr>
          <w:p w:rsidR="003B080E" w:rsidRPr="00B35F93" w:rsidRDefault="003B080E" w:rsidP="00467504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wyznacza skalę podobieństwa brył podobnych</w:t>
            </w:r>
            <w:r w:rsidR="009E3499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prostych przypadkach</w:t>
            </w:r>
          </w:p>
        </w:tc>
      </w:tr>
    </w:tbl>
    <w:p w:rsidR="000650AB" w:rsidRDefault="000650AB" w:rsidP="000650AB">
      <w:pPr>
        <w:jc w:val="both"/>
        <w:rPr>
          <w:sz w:val="22"/>
          <w:szCs w:val="22"/>
        </w:rPr>
      </w:pPr>
    </w:p>
    <w:p w:rsidR="003B080E" w:rsidRPr="00B35F93" w:rsidRDefault="000650AB" w:rsidP="000650AB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, </w:t>
      </w:r>
      <w:r>
        <w:rPr>
          <w:sz w:val="22"/>
          <w:szCs w:val="22"/>
        </w:rPr>
        <w:t>jeśli opanował poziomy niższe</w:t>
      </w:r>
      <w:r w:rsidRPr="00B35F93">
        <w:rPr>
          <w:sz w:val="22"/>
          <w:szCs w:val="22"/>
        </w:rPr>
        <w:t xml:space="preserve"> oraz dodatkowo:</w:t>
      </w:r>
      <w:r w:rsidRPr="00B35F93">
        <w:rPr>
          <w:b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4129D" w:rsidRPr="00B35F93" w:rsidTr="00304EFD">
        <w:trPr>
          <w:trHeight w:val="112"/>
        </w:trPr>
        <w:tc>
          <w:tcPr>
            <w:tcW w:w="9212" w:type="dxa"/>
          </w:tcPr>
          <w:p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34129D" w:rsidRPr="00B35F93" w:rsidRDefault="0034129D" w:rsidP="00A1307F">
            <w:pPr>
              <w:ind w:left="720"/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do obliczenia pola powierzchni i objętości bryły obrotowej</w:t>
            </w:r>
            <w:r w:rsidR="000650AB">
              <w:rPr>
                <w:bCs/>
                <w:sz w:val="22"/>
                <w:szCs w:val="22"/>
              </w:rPr>
              <w:t xml:space="preserve"> w trudniejszych</w:t>
            </w:r>
            <w:r w:rsidR="00A1307F" w:rsidRPr="00B35F93">
              <w:rPr>
                <w:bCs/>
                <w:sz w:val="22"/>
                <w:szCs w:val="22"/>
              </w:rPr>
              <w:t xml:space="preserve"> sytuacjach</w:t>
            </w:r>
          </w:p>
        </w:tc>
      </w:tr>
      <w:tr w:rsidR="0034129D" w:rsidRPr="00B35F93" w:rsidTr="000650AB">
        <w:trPr>
          <w:trHeight w:val="112"/>
        </w:trPr>
        <w:tc>
          <w:tcPr>
            <w:tcW w:w="9212" w:type="dxa"/>
            <w:tcBorders>
              <w:bottom w:val="single" w:sz="4" w:space="0" w:color="auto"/>
            </w:tcBorders>
          </w:tcPr>
          <w:p w:rsidR="0034129D" w:rsidRPr="00B35F93" w:rsidRDefault="0034129D" w:rsidP="0034129D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wykorzystuje podobieństwo brył i skalę podobieństwa brył podobnych </w:t>
            </w:r>
            <w:r w:rsidR="00262E47">
              <w:rPr>
                <w:sz w:val="22"/>
                <w:szCs w:val="22"/>
              </w:rPr>
              <w:t>podczas</w:t>
            </w:r>
            <w:r w:rsidRPr="00B35F93">
              <w:rPr>
                <w:sz w:val="22"/>
                <w:szCs w:val="22"/>
              </w:rPr>
              <w:t xml:space="preserve"> rozwiąz</w:t>
            </w:r>
            <w:r w:rsidR="00262E47">
              <w:rPr>
                <w:sz w:val="22"/>
                <w:szCs w:val="22"/>
              </w:rPr>
              <w:t>ywania</w:t>
            </w:r>
            <w:r w:rsidRPr="00B35F93">
              <w:rPr>
                <w:sz w:val="22"/>
                <w:szCs w:val="22"/>
              </w:rPr>
              <w:t xml:space="preserve"> zadań</w:t>
            </w:r>
          </w:p>
        </w:tc>
      </w:tr>
      <w:tr w:rsidR="000650AB" w:rsidRPr="00B35F93" w:rsidTr="000650AB">
        <w:trPr>
          <w:trHeight w:val="112"/>
        </w:trPr>
        <w:tc>
          <w:tcPr>
            <w:tcW w:w="9212" w:type="dxa"/>
            <w:tcBorders>
              <w:left w:val="nil"/>
              <w:right w:val="nil"/>
            </w:tcBorders>
          </w:tcPr>
          <w:p w:rsidR="000650AB" w:rsidRDefault="000650AB" w:rsidP="000650AB"/>
          <w:p w:rsidR="000650AB" w:rsidRPr="00B35F93" w:rsidRDefault="000650AB" w:rsidP="000650AB">
            <w:r w:rsidRPr="00B35F93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B35F93">
              <w:rPr>
                <w:b/>
                <w:bCs/>
                <w:sz w:val="22"/>
                <w:szCs w:val="22"/>
              </w:rPr>
              <w:t>bardzo dobrą</w:t>
            </w:r>
            <w:r w:rsidRPr="00B35F9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0650AB" w:rsidRPr="00B35F93" w:rsidTr="00304EFD">
        <w:trPr>
          <w:trHeight w:val="112"/>
        </w:trPr>
        <w:tc>
          <w:tcPr>
            <w:tcW w:w="9212" w:type="dxa"/>
          </w:tcPr>
          <w:p w:rsidR="000650AB" w:rsidRPr="00B35F93" w:rsidRDefault="000650AB" w:rsidP="000650AB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stosuje </w:t>
            </w:r>
            <w:r w:rsidRPr="00B35F93">
              <w:rPr>
                <w:sz w:val="22"/>
                <w:szCs w:val="22"/>
              </w:rPr>
              <w:t>funkcje trygonometryczne i</w:t>
            </w:r>
            <w:r w:rsidRPr="00B35F93">
              <w:rPr>
                <w:bCs/>
                <w:sz w:val="22"/>
                <w:szCs w:val="22"/>
              </w:rPr>
              <w:t xml:space="preserve"> twierdzenia planimetrii </w:t>
            </w:r>
          </w:p>
          <w:p w:rsidR="000650AB" w:rsidRPr="00B35F93" w:rsidRDefault="000650AB" w:rsidP="000650AB">
            <w:pPr>
              <w:ind w:left="720"/>
            </w:pPr>
            <w:r w:rsidRPr="00B35F93">
              <w:rPr>
                <w:bCs/>
                <w:sz w:val="22"/>
                <w:szCs w:val="22"/>
              </w:rPr>
              <w:t>do obliczenia pola powierzchni i objętości bryły obrotowej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0650AB" w:rsidRPr="00B35F93" w:rsidTr="00304EFD">
        <w:trPr>
          <w:trHeight w:val="112"/>
        </w:trPr>
        <w:tc>
          <w:tcPr>
            <w:tcW w:w="9212" w:type="dxa"/>
          </w:tcPr>
          <w:p w:rsidR="000650AB" w:rsidRPr="00B35F93" w:rsidRDefault="000650AB" w:rsidP="000650AB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wykorzystuje podobieństwo brył i skalę podobieństwa brył podobnych </w:t>
            </w:r>
            <w:r>
              <w:rPr>
                <w:sz w:val="22"/>
                <w:szCs w:val="22"/>
              </w:rPr>
              <w:t>podczas</w:t>
            </w:r>
            <w:r w:rsidRPr="00B35F93">
              <w:rPr>
                <w:sz w:val="22"/>
                <w:szCs w:val="22"/>
              </w:rPr>
              <w:t xml:space="preserve"> rozwiąz</w:t>
            </w:r>
            <w:r>
              <w:rPr>
                <w:sz w:val="22"/>
                <w:szCs w:val="22"/>
              </w:rPr>
              <w:t>ywania</w:t>
            </w:r>
            <w:r w:rsidRPr="00B35F93">
              <w:rPr>
                <w:sz w:val="22"/>
                <w:szCs w:val="22"/>
              </w:rPr>
              <w:t xml:space="preserve"> zadań</w:t>
            </w:r>
            <w:r>
              <w:rPr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>w złożonych sytuacjach</w:t>
            </w:r>
          </w:p>
        </w:tc>
      </w:tr>
    </w:tbl>
    <w:p w:rsidR="000650AB" w:rsidRDefault="000650AB" w:rsidP="000650AB">
      <w:pPr>
        <w:pStyle w:val="Tekstpodstawowy"/>
        <w:rPr>
          <w:sz w:val="22"/>
          <w:szCs w:val="22"/>
        </w:rPr>
      </w:pPr>
    </w:p>
    <w:p w:rsidR="0034129D" w:rsidRPr="00B35F93" w:rsidRDefault="000650AB" w:rsidP="000650AB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niższych </w:t>
      </w:r>
      <w:r w:rsidRPr="00B35F93">
        <w:rPr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614272" w:rsidRPr="00B35F93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bCs/>
                <w:sz w:val="22"/>
                <w:szCs w:val="22"/>
                <w:lang w:eastAsia="en-US"/>
              </w:rPr>
              <w:t>rozwiązuje zadania o znacznym stopniu trudności dotyczące brył obrotowych</w:t>
            </w:r>
          </w:p>
        </w:tc>
      </w:tr>
      <w:tr w:rsidR="00614272" w:rsidRPr="00B35F93" w:rsidTr="00304EFD">
        <w:trPr>
          <w:trHeight w:val="11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272" w:rsidRPr="00B35F93" w:rsidRDefault="00614272" w:rsidP="00614272">
            <w:pPr>
              <w:numPr>
                <w:ilvl w:val="0"/>
                <w:numId w:val="6"/>
              </w:numPr>
              <w:spacing w:line="276" w:lineRule="auto"/>
              <w:rPr>
                <w:bCs/>
                <w:lang w:eastAsia="en-US"/>
              </w:rPr>
            </w:pPr>
            <w:r w:rsidRPr="00B35F93">
              <w:rPr>
                <w:sz w:val="22"/>
                <w:szCs w:val="22"/>
                <w:lang w:eastAsia="en-US"/>
              </w:rPr>
              <w:t>przeprowadza dowody twierdzeń dotyczących związków miarowych w bryłach obrotowych</w:t>
            </w:r>
          </w:p>
        </w:tc>
      </w:tr>
    </w:tbl>
    <w:p w:rsidR="00614272" w:rsidRPr="00B35F93" w:rsidRDefault="00614272" w:rsidP="00614272">
      <w:pPr>
        <w:rPr>
          <w:sz w:val="22"/>
          <w:szCs w:val="22"/>
        </w:rPr>
      </w:pPr>
    </w:p>
    <w:p w:rsidR="00446AAC" w:rsidRPr="00B35F93" w:rsidRDefault="00446AAC" w:rsidP="00446AAC">
      <w:pPr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4. PRZYKŁADY DOWODÓW W MATEMATYCE</w:t>
      </w:r>
    </w:p>
    <w:p w:rsidR="0028748E" w:rsidRDefault="0028748E" w:rsidP="00226BFE">
      <w:pPr>
        <w:jc w:val="both"/>
        <w:rPr>
          <w:sz w:val="22"/>
          <w:szCs w:val="22"/>
        </w:rPr>
      </w:pPr>
    </w:p>
    <w:p w:rsidR="00226BFE" w:rsidRPr="00B35F93" w:rsidRDefault="00226BFE" w:rsidP="00226BF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dopuszczającą</w:t>
      </w:r>
      <w:r w:rsidRPr="00B35F93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proste dowody dotyczące własności liczb</w:t>
            </w:r>
          </w:p>
        </w:tc>
      </w:tr>
      <w:tr w:rsidR="00226BFE" w:rsidRPr="00B35F93" w:rsidTr="0028748E">
        <w:trPr>
          <w:trHeight w:val="30"/>
        </w:trPr>
        <w:tc>
          <w:tcPr>
            <w:tcW w:w="9212" w:type="dxa"/>
            <w:tcBorders>
              <w:bottom w:val="single" w:sz="4" w:space="0" w:color="auto"/>
            </w:tcBorders>
          </w:tcPr>
          <w:p w:rsidR="00226BFE" w:rsidRPr="00B35F93" w:rsidRDefault="0028748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  <w:tr w:rsidR="0028748E" w:rsidRPr="00B35F93" w:rsidTr="0028748E">
        <w:trPr>
          <w:trHeight w:val="30"/>
        </w:trPr>
        <w:tc>
          <w:tcPr>
            <w:tcW w:w="9212" w:type="dxa"/>
            <w:tcBorders>
              <w:left w:val="nil"/>
              <w:right w:val="nil"/>
            </w:tcBorders>
          </w:tcPr>
          <w:p w:rsidR="0028748E" w:rsidRDefault="0028748E" w:rsidP="0028748E"/>
          <w:p w:rsidR="0028748E" w:rsidRPr="00B35F93" w:rsidRDefault="0028748E" w:rsidP="0028748E">
            <w:pPr>
              <w:rPr>
                <w:bCs/>
              </w:rPr>
            </w:pPr>
            <w:r w:rsidRPr="00B35F93">
              <w:rPr>
                <w:sz w:val="22"/>
                <w:szCs w:val="22"/>
              </w:rPr>
              <w:t xml:space="preserve">Uczeń otrzymuje ocenę </w:t>
            </w:r>
            <w:r w:rsidRPr="00B35F93">
              <w:rPr>
                <w:b/>
                <w:bCs/>
                <w:sz w:val="22"/>
                <w:szCs w:val="22"/>
              </w:rPr>
              <w:t>do</w:t>
            </w:r>
            <w:r>
              <w:rPr>
                <w:b/>
                <w:bCs/>
                <w:sz w:val="22"/>
                <w:szCs w:val="22"/>
              </w:rPr>
              <w:t>stateczną</w:t>
            </w:r>
            <w:r>
              <w:rPr>
                <w:sz w:val="22"/>
                <w:szCs w:val="22"/>
              </w:rPr>
              <w:t>, jeśli opanował poziom niższy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28748E" w:rsidRPr="00B35F93" w:rsidTr="002128C6">
        <w:trPr>
          <w:trHeight w:val="30"/>
        </w:trPr>
        <w:tc>
          <w:tcPr>
            <w:tcW w:w="9212" w:type="dxa"/>
          </w:tcPr>
          <w:p w:rsidR="0028748E" w:rsidRPr="00B35F93" w:rsidRDefault="0028748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przeprowadza proste dowody,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35F93">
              <w:rPr>
                <w:bCs/>
                <w:sz w:val="22"/>
                <w:szCs w:val="22"/>
              </w:rPr>
              <w:t>stosując metodę równoważnego przekształcania tezy</w:t>
            </w:r>
          </w:p>
        </w:tc>
      </w:tr>
      <w:tr w:rsidR="00614272" w:rsidRPr="00B35F93" w:rsidTr="002128C6">
        <w:trPr>
          <w:trHeight w:val="30"/>
        </w:trPr>
        <w:tc>
          <w:tcPr>
            <w:tcW w:w="9212" w:type="dxa"/>
          </w:tcPr>
          <w:p w:rsidR="00614272" w:rsidRPr="00B35F93" w:rsidRDefault="00614272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uzasadnia niewymierność liczby, stosując dowód nie wprost w prostych sytuacjach</w:t>
            </w:r>
          </w:p>
        </w:tc>
      </w:tr>
    </w:tbl>
    <w:p w:rsidR="00A1307F" w:rsidRDefault="00A1307F" w:rsidP="00226BFE">
      <w:pPr>
        <w:tabs>
          <w:tab w:val="left" w:pos="3855"/>
        </w:tabs>
        <w:jc w:val="both"/>
        <w:rPr>
          <w:sz w:val="22"/>
          <w:szCs w:val="22"/>
        </w:rPr>
      </w:pPr>
    </w:p>
    <w:p w:rsidR="00226BFE" w:rsidRPr="0028748E" w:rsidRDefault="0028748E" w:rsidP="0028748E">
      <w:pPr>
        <w:jc w:val="both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dobrą</w:t>
      </w:r>
      <w:r w:rsidRPr="00B35F93">
        <w:rPr>
          <w:sz w:val="22"/>
          <w:szCs w:val="22"/>
        </w:rPr>
        <w:t xml:space="preserve">, </w:t>
      </w:r>
      <w:r>
        <w:rPr>
          <w:sz w:val="22"/>
          <w:szCs w:val="22"/>
        </w:rPr>
        <w:t>jeśli opanował poziomy niższe</w:t>
      </w:r>
      <w:r w:rsidRPr="00B35F93">
        <w:rPr>
          <w:sz w:val="22"/>
          <w:szCs w:val="22"/>
        </w:rPr>
        <w:t xml:space="preserve"> oraz dodatkowo:</w:t>
      </w:r>
      <w:r w:rsidRPr="00B35F93">
        <w:rPr>
          <w:b/>
          <w:bCs/>
          <w:sz w:val="22"/>
          <w:szCs w:val="22"/>
        </w:rPr>
        <w:tab/>
      </w:r>
      <w:r w:rsidR="00226BFE" w:rsidRPr="00B35F93">
        <w:rPr>
          <w:b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26BFE" w:rsidRPr="00B35F93" w:rsidTr="002128C6">
        <w:trPr>
          <w:trHeight w:val="30"/>
        </w:trPr>
        <w:tc>
          <w:tcPr>
            <w:tcW w:w="9212" w:type="dxa"/>
          </w:tcPr>
          <w:p w:rsidR="00226BFE" w:rsidRPr="00B35F93" w:rsidRDefault="00226BFE" w:rsidP="00226BFE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 xml:space="preserve">przeprowadza </w:t>
            </w:r>
            <w:r w:rsidR="00BB6312" w:rsidRPr="00B35F93">
              <w:rPr>
                <w:sz w:val="22"/>
                <w:szCs w:val="22"/>
              </w:rPr>
              <w:t>trudniejsze</w:t>
            </w:r>
            <w:r w:rsidRPr="00B35F93">
              <w:rPr>
                <w:sz w:val="22"/>
                <w:szCs w:val="22"/>
              </w:rPr>
              <w:t xml:space="preserve"> dowody dotyczące własności liczb</w:t>
            </w:r>
            <w:r w:rsidR="00D1551A" w:rsidRPr="00B35F93">
              <w:rPr>
                <w:sz w:val="22"/>
                <w:szCs w:val="22"/>
              </w:rPr>
              <w:t xml:space="preserve"> całkowitych</w:t>
            </w:r>
          </w:p>
        </w:tc>
      </w:tr>
      <w:tr w:rsidR="00226BFE" w:rsidRPr="00B35F93" w:rsidTr="0028748E">
        <w:trPr>
          <w:trHeight w:val="30"/>
        </w:trPr>
        <w:tc>
          <w:tcPr>
            <w:tcW w:w="9212" w:type="dxa"/>
            <w:tcBorders>
              <w:bottom w:val="single" w:sz="4" w:space="0" w:color="auto"/>
            </w:tcBorders>
          </w:tcPr>
          <w:p w:rsidR="00226BFE" w:rsidRPr="00B35F93" w:rsidRDefault="0028748E" w:rsidP="00226BFE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sz w:val="22"/>
                <w:szCs w:val="22"/>
              </w:rPr>
              <w:t>przeprowadza trudniejsze dowody dotyczące własności figur płaskich</w:t>
            </w:r>
          </w:p>
        </w:tc>
      </w:tr>
      <w:tr w:rsidR="0028748E" w:rsidRPr="00B35F93" w:rsidTr="0028748E">
        <w:trPr>
          <w:trHeight w:val="30"/>
        </w:trPr>
        <w:tc>
          <w:tcPr>
            <w:tcW w:w="9212" w:type="dxa"/>
            <w:tcBorders>
              <w:left w:val="nil"/>
              <w:right w:val="nil"/>
            </w:tcBorders>
          </w:tcPr>
          <w:p w:rsidR="0028748E" w:rsidRDefault="0028748E" w:rsidP="0028748E"/>
          <w:p w:rsidR="0028748E" w:rsidRPr="00B35F93" w:rsidRDefault="0028748E" w:rsidP="0028748E">
            <w:pPr>
              <w:rPr>
                <w:bCs/>
              </w:rPr>
            </w:pPr>
            <w:r w:rsidRPr="00B35F93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B35F93">
              <w:rPr>
                <w:b/>
                <w:bCs/>
                <w:sz w:val="22"/>
                <w:szCs w:val="22"/>
              </w:rPr>
              <w:t>bardzo dobrą</w:t>
            </w:r>
            <w:r w:rsidRPr="00B35F9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B35F93">
              <w:rPr>
                <w:sz w:val="22"/>
                <w:szCs w:val="22"/>
              </w:rPr>
              <w:t xml:space="preserve"> oraz dodatkowo:</w:t>
            </w:r>
          </w:p>
        </w:tc>
      </w:tr>
      <w:tr w:rsidR="0028748E" w:rsidRPr="00B35F93" w:rsidTr="002128C6">
        <w:trPr>
          <w:trHeight w:val="30"/>
        </w:trPr>
        <w:tc>
          <w:tcPr>
            <w:tcW w:w="9212" w:type="dxa"/>
          </w:tcPr>
          <w:p w:rsidR="0028748E" w:rsidRPr="00B35F93" w:rsidRDefault="0028748E" w:rsidP="00A1307F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przeprowadza trudniejsze dowody dotyczące nierówności (np. wykorzystując zależność między średnią arytmetyczną a średnią geometryczną</w:t>
            </w:r>
            <w:r>
              <w:rPr>
                <w:bCs/>
                <w:sz w:val="22"/>
                <w:szCs w:val="22"/>
              </w:rPr>
              <w:t>)</w:t>
            </w:r>
          </w:p>
        </w:tc>
      </w:tr>
      <w:tr w:rsidR="00D1551A" w:rsidRPr="00B35F93" w:rsidTr="002128C6">
        <w:trPr>
          <w:trHeight w:val="30"/>
        </w:trPr>
        <w:tc>
          <w:tcPr>
            <w:tcW w:w="9212" w:type="dxa"/>
          </w:tcPr>
          <w:p w:rsidR="00D1551A" w:rsidRPr="00B35F93" w:rsidRDefault="00D1551A" w:rsidP="00A1307F">
            <w:pPr>
              <w:numPr>
                <w:ilvl w:val="0"/>
                <w:numId w:val="4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>stosuje metodę równoważnego przekształcania tezy</w:t>
            </w:r>
            <w:r w:rsidR="00262E47">
              <w:rPr>
                <w:bCs/>
                <w:sz w:val="22"/>
                <w:szCs w:val="22"/>
              </w:rPr>
              <w:t xml:space="preserve"> – </w:t>
            </w:r>
            <w:r w:rsidR="00A1307F" w:rsidRPr="00B35F93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D1551A" w:rsidRPr="00B35F93" w:rsidTr="002128C6">
        <w:trPr>
          <w:trHeight w:val="30"/>
        </w:trPr>
        <w:tc>
          <w:tcPr>
            <w:tcW w:w="9212" w:type="dxa"/>
          </w:tcPr>
          <w:p w:rsidR="00D1551A" w:rsidRPr="00B35F93" w:rsidRDefault="00D1551A" w:rsidP="00A1307F">
            <w:pPr>
              <w:numPr>
                <w:ilvl w:val="0"/>
                <w:numId w:val="4"/>
              </w:numPr>
            </w:pPr>
            <w:r w:rsidRPr="00B35F93">
              <w:rPr>
                <w:sz w:val="22"/>
                <w:szCs w:val="22"/>
              </w:rPr>
              <w:t>przeprowadza dowody nie wprost</w:t>
            </w:r>
            <w:r w:rsidR="00262E47">
              <w:rPr>
                <w:sz w:val="22"/>
                <w:szCs w:val="22"/>
              </w:rPr>
              <w:t xml:space="preserve"> – </w:t>
            </w:r>
            <w:r w:rsidR="00A1307F" w:rsidRPr="00B35F93">
              <w:rPr>
                <w:sz w:val="22"/>
                <w:szCs w:val="22"/>
              </w:rPr>
              <w:t>w trudnych sytuacjach</w:t>
            </w:r>
          </w:p>
        </w:tc>
      </w:tr>
    </w:tbl>
    <w:p w:rsidR="00D1551A" w:rsidRDefault="00D1551A" w:rsidP="00226BFE">
      <w:pPr>
        <w:jc w:val="both"/>
        <w:rPr>
          <w:sz w:val="22"/>
          <w:szCs w:val="22"/>
        </w:rPr>
      </w:pPr>
    </w:p>
    <w:p w:rsidR="0028748E" w:rsidRPr="00B35F93" w:rsidRDefault="0028748E" w:rsidP="0028748E">
      <w:pPr>
        <w:pStyle w:val="Tekstpodstawowy"/>
        <w:rPr>
          <w:sz w:val="22"/>
          <w:szCs w:val="22"/>
        </w:rPr>
      </w:pPr>
      <w:r w:rsidRPr="00B35F93">
        <w:rPr>
          <w:sz w:val="22"/>
          <w:szCs w:val="22"/>
        </w:rPr>
        <w:t xml:space="preserve">Uczeń otrzymuje ocenę </w:t>
      </w:r>
      <w:r w:rsidRPr="00B35F93">
        <w:rPr>
          <w:b/>
          <w:bCs/>
          <w:sz w:val="22"/>
          <w:szCs w:val="22"/>
        </w:rPr>
        <w:t>celującą</w:t>
      </w:r>
      <w:r w:rsidRPr="00B35F93">
        <w:rPr>
          <w:sz w:val="22"/>
          <w:szCs w:val="22"/>
        </w:rPr>
        <w:t xml:space="preserve">, jeśli opanował wiedzę i umiejętności z poziomów </w:t>
      </w:r>
      <w:r>
        <w:rPr>
          <w:sz w:val="22"/>
          <w:szCs w:val="22"/>
        </w:rPr>
        <w:t xml:space="preserve">niższych </w:t>
      </w:r>
      <w:r w:rsidRPr="00B35F93">
        <w:rPr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26BFE" w:rsidRPr="00B35F93" w:rsidTr="002128C6">
        <w:tc>
          <w:tcPr>
            <w:tcW w:w="9212" w:type="dxa"/>
          </w:tcPr>
          <w:p w:rsidR="00226BFE" w:rsidRPr="00B35F93" w:rsidRDefault="00226BFE" w:rsidP="00335FD4">
            <w:pPr>
              <w:numPr>
                <w:ilvl w:val="0"/>
                <w:numId w:val="3"/>
              </w:numPr>
              <w:rPr>
                <w:bCs/>
              </w:rPr>
            </w:pPr>
            <w:r w:rsidRPr="00B35F93">
              <w:rPr>
                <w:bCs/>
                <w:sz w:val="22"/>
                <w:szCs w:val="22"/>
              </w:rPr>
              <w:t xml:space="preserve">przeprowadza </w:t>
            </w:r>
            <w:r w:rsidR="002B21AD" w:rsidRPr="00B35F93">
              <w:rPr>
                <w:bCs/>
                <w:sz w:val="22"/>
                <w:szCs w:val="22"/>
              </w:rPr>
              <w:t xml:space="preserve">dowody wymagające </w:t>
            </w:r>
            <w:r w:rsidR="00C032FC">
              <w:rPr>
                <w:bCs/>
                <w:sz w:val="22"/>
                <w:szCs w:val="22"/>
              </w:rPr>
              <w:t>wiedzy na poziomie trudniejszym</w:t>
            </w:r>
            <w:r w:rsidR="006522AF" w:rsidRPr="00B35F93">
              <w:rPr>
                <w:bCs/>
                <w:sz w:val="22"/>
                <w:szCs w:val="22"/>
              </w:rPr>
              <w:t xml:space="preserve"> z</w:t>
            </w:r>
            <w:r w:rsidR="002B21AD" w:rsidRPr="00B35F93">
              <w:rPr>
                <w:bCs/>
                <w:sz w:val="22"/>
                <w:szCs w:val="22"/>
              </w:rPr>
              <w:t xml:space="preserve"> innych </w:t>
            </w:r>
            <w:r w:rsidR="006522AF" w:rsidRPr="00B35F93">
              <w:rPr>
                <w:bCs/>
                <w:sz w:val="22"/>
                <w:szCs w:val="22"/>
              </w:rPr>
              <w:t>działów</w:t>
            </w:r>
          </w:p>
        </w:tc>
      </w:tr>
    </w:tbl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226BFE" w:rsidRPr="00B35F93" w:rsidRDefault="00226BFE" w:rsidP="00226BFE">
      <w:pPr>
        <w:pStyle w:val="Nagwek1"/>
        <w:rPr>
          <w:sz w:val="22"/>
          <w:szCs w:val="22"/>
        </w:rPr>
      </w:pPr>
    </w:p>
    <w:p w:rsidR="00226BFE" w:rsidRPr="00B35F93" w:rsidRDefault="00BB6312" w:rsidP="00226BFE">
      <w:pPr>
        <w:pStyle w:val="Nagwek1"/>
        <w:rPr>
          <w:sz w:val="22"/>
          <w:szCs w:val="22"/>
        </w:rPr>
      </w:pPr>
      <w:r w:rsidRPr="00B35F93">
        <w:rPr>
          <w:sz w:val="22"/>
          <w:szCs w:val="22"/>
        </w:rPr>
        <w:t>5. POWTÓRZENIE</w:t>
      </w:r>
    </w:p>
    <w:p w:rsidR="009666CF" w:rsidRPr="002C5D35" w:rsidRDefault="00226BFE">
      <w:pPr>
        <w:rPr>
          <w:sz w:val="22"/>
          <w:szCs w:val="22"/>
        </w:rPr>
      </w:pPr>
      <w:r w:rsidRPr="00B35F93">
        <w:rPr>
          <w:sz w:val="22"/>
          <w:szCs w:val="22"/>
        </w:rPr>
        <w:t>Wymagania dotyczące powtarzanych wiadomoś</w:t>
      </w:r>
      <w:r w:rsidR="000D43FE" w:rsidRPr="00B35F93">
        <w:rPr>
          <w:sz w:val="22"/>
          <w:szCs w:val="22"/>
        </w:rPr>
        <w:t>c</w:t>
      </w:r>
      <w:r w:rsidR="00C032FC">
        <w:rPr>
          <w:sz w:val="22"/>
          <w:szCs w:val="22"/>
        </w:rPr>
        <w:t xml:space="preserve">i zostały opisane w  </w:t>
      </w:r>
      <w:r w:rsidR="005A744F">
        <w:rPr>
          <w:sz w:val="22"/>
          <w:szCs w:val="22"/>
        </w:rPr>
        <w:t>wymaganiach</w:t>
      </w:r>
      <w:r w:rsidR="000D43FE" w:rsidRPr="00B35F93">
        <w:rPr>
          <w:sz w:val="22"/>
          <w:szCs w:val="22"/>
        </w:rPr>
        <w:t xml:space="preserve"> dla klas</w:t>
      </w:r>
      <w:r w:rsidRPr="00B35F93">
        <w:rPr>
          <w:sz w:val="22"/>
          <w:szCs w:val="22"/>
        </w:rPr>
        <w:t xml:space="preserve"> pierwszej</w:t>
      </w:r>
      <w:r w:rsidR="00AB618C" w:rsidRPr="00B35F93">
        <w:rPr>
          <w:sz w:val="22"/>
          <w:szCs w:val="22"/>
        </w:rPr>
        <w:t xml:space="preserve">, </w:t>
      </w:r>
      <w:r w:rsidRPr="00B35F93">
        <w:rPr>
          <w:sz w:val="22"/>
          <w:szCs w:val="22"/>
        </w:rPr>
        <w:t>drugiej</w:t>
      </w:r>
      <w:r w:rsidR="00AB618C" w:rsidRPr="00B35F93">
        <w:rPr>
          <w:sz w:val="22"/>
          <w:szCs w:val="22"/>
        </w:rPr>
        <w:t xml:space="preserve"> i trzeciej</w:t>
      </w:r>
      <w:r w:rsidRPr="00B35F93">
        <w:rPr>
          <w:sz w:val="22"/>
          <w:szCs w:val="22"/>
        </w:rPr>
        <w:t xml:space="preserve">. </w:t>
      </w:r>
      <w:r w:rsidR="00F9631E">
        <w:rPr>
          <w:sz w:val="22"/>
          <w:szCs w:val="22"/>
        </w:rPr>
        <w:t>Z kolei te z</w:t>
      </w:r>
      <w:r w:rsidRPr="00B35F93">
        <w:rPr>
          <w:sz w:val="22"/>
          <w:szCs w:val="22"/>
        </w:rPr>
        <w:t xml:space="preserve"> zakres</w:t>
      </w:r>
      <w:r w:rsidR="00F9631E">
        <w:rPr>
          <w:sz w:val="22"/>
          <w:szCs w:val="22"/>
        </w:rPr>
        <w:t>u</w:t>
      </w:r>
      <w:r w:rsidR="00C032FC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r</w:t>
      </w:r>
      <w:r w:rsidRPr="00B35F93">
        <w:rPr>
          <w:sz w:val="22"/>
          <w:szCs w:val="22"/>
        </w:rPr>
        <w:t>achunku prawdopodobieństwa</w:t>
      </w:r>
      <w:r w:rsidR="00AB618C" w:rsidRPr="00B35F93">
        <w:rPr>
          <w:sz w:val="22"/>
          <w:szCs w:val="22"/>
        </w:rPr>
        <w:t xml:space="preserve"> i</w:t>
      </w:r>
      <w:r w:rsidR="00C032FC">
        <w:rPr>
          <w:sz w:val="22"/>
          <w:szCs w:val="22"/>
        </w:rPr>
        <w:t xml:space="preserve"> </w:t>
      </w:r>
      <w:r w:rsidR="00B94F59" w:rsidRPr="00B35F93">
        <w:rPr>
          <w:sz w:val="22"/>
          <w:szCs w:val="22"/>
        </w:rPr>
        <w:t>s</w:t>
      </w:r>
      <w:r w:rsidRPr="00B35F93">
        <w:rPr>
          <w:sz w:val="22"/>
          <w:szCs w:val="22"/>
        </w:rPr>
        <w:t xml:space="preserve">tereometrii </w:t>
      </w:r>
      <w:r w:rsidR="00262E47" w:rsidRPr="00B35F93">
        <w:rPr>
          <w:bCs/>
          <w:sz w:val="22"/>
          <w:szCs w:val="22"/>
        </w:rPr>
        <w:t xml:space="preserve">są </w:t>
      </w:r>
      <w:r w:rsidRPr="00B35F93">
        <w:rPr>
          <w:bCs/>
          <w:sz w:val="22"/>
          <w:szCs w:val="22"/>
        </w:rPr>
        <w:t>opisane powyżej.</w:t>
      </w:r>
    </w:p>
    <w:sectPr w:rsidR="009666CF" w:rsidRPr="002C5D35" w:rsidSect="008A02AE">
      <w:headerReference w:type="default" r:id="rId10"/>
      <w:footerReference w:type="even" r:id="rId11"/>
      <w:footerReference w:type="default" r:id="rId12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9C4" w:rsidRDefault="007579C4" w:rsidP="005F6755">
      <w:r>
        <w:separator/>
      </w:r>
    </w:p>
  </w:endnote>
  <w:endnote w:type="continuationSeparator" w:id="0">
    <w:p w:rsidR="007579C4" w:rsidRDefault="007579C4" w:rsidP="005F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26C" w:rsidRDefault="009F7473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4026C" w:rsidRDefault="007579C4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26C" w:rsidRDefault="009F7473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6BF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737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4026C" w:rsidRDefault="007579C4" w:rsidP="00D62CB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9C4" w:rsidRDefault="007579C4" w:rsidP="005F6755">
      <w:r>
        <w:separator/>
      </w:r>
    </w:p>
  </w:footnote>
  <w:footnote w:type="continuationSeparator" w:id="0">
    <w:p w:rsidR="007579C4" w:rsidRDefault="007579C4" w:rsidP="005F6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AE" w:rsidRPr="008A02AE" w:rsidRDefault="007579C4" w:rsidP="008A02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NE_rgb" style="width:575.4pt;height:389.4pt;visibility:visible;mso-wrap-style:square" o:bullet="t">
        <v:imagedata r:id="rId1" o:title="logoNE_rgb"/>
      </v:shape>
    </w:pict>
  </w:numPicBullet>
  <w:abstractNum w:abstractNumId="0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30B34"/>
    <w:multiLevelType w:val="hybridMultilevel"/>
    <w:tmpl w:val="06BCBC4E"/>
    <w:lvl w:ilvl="0" w:tplc="903A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324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98D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70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167C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F0BD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6CB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FA9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A242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BFE"/>
    <w:rsid w:val="00014B7A"/>
    <w:rsid w:val="000330C8"/>
    <w:rsid w:val="000650AB"/>
    <w:rsid w:val="0007420B"/>
    <w:rsid w:val="000A5648"/>
    <w:rsid w:val="000C53A8"/>
    <w:rsid w:val="000D43FE"/>
    <w:rsid w:val="000D72D4"/>
    <w:rsid w:val="000E7000"/>
    <w:rsid w:val="000F497F"/>
    <w:rsid w:val="000F49CE"/>
    <w:rsid w:val="00137B63"/>
    <w:rsid w:val="00164A3E"/>
    <w:rsid w:val="00165B13"/>
    <w:rsid w:val="001C34CF"/>
    <w:rsid w:val="001D163D"/>
    <w:rsid w:val="001D1C87"/>
    <w:rsid w:val="001D657A"/>
    <w:rsid w:val="00202032"/>
    <w:rsid w:val="00226BFE"/>
    <w:rsid w:val="00262E47"/>
    <w:rsid w:val="0028748E"/>
    <w:rsid w:val="002A0622"/>
    <w:rsid w:val="002B21AD"/>
    <w:rsid w:val="002C5D35"/>
    <w:rsid w:val="002F0C70"/>
    <w:rsid w:val="002F1944"/>
    <w:rsid w:val="00310A2C"/>
    <w:rsid w:val="003320C3"/>
    <w:rsid w:val="00335FD4"/>
    <w:rsid w:val="0034129D"/>
    <w:rsid w:val="0039195C"/>
    <w:rsid w:val="003A4B56"/>
    <w:rsid w:val="003B080E"/>
    <w:rsid w:val="00446AAC"/>
    <w:rsid w:val="00467504"/>
    <w:rsid w:val="00490E1E"/>
    <w:rsid w:val="004A4DE5"/>
    <w:rsid w:val="004B0391"/>
    <w:rsid w:val="004C4C1E"/>
    <w:rsid w:val="004F09FB"/>
    <w:rsid w:val="00523D3B"/>
    <w:rsid w:val="00573A78"/>
    <w:rsid w:val="005979DB"/>
    <w:rsid w:val="005A3433"/>
    <w:rsid w:val="005A744F"/>
    <w:rsid w:val="005C7587"/>
    <w:rsid w:val="005E08CC"/>
    <w:rsid w:val="005F6755"/>
    <w:rsid w:val="00614272"/>
    <w:rsid w:val="00623421"/>
    <w:rsid w:val="00635684"/>
    <w:rsid w:val="00641C97"/>
    <w:rsid w:val="0064472E"/>
    <w:rsid w:val="006522AF"/>
    <w:rsid w:val="006B6645"/>
    <w:rsid w:val="006D11B6"/>
    <w:rsid w:val="00715199"/>
    <w:rsid w:val="0074078C"/>
    <w:rsid w:val="007579C4"/>
    <w:rsid w:val="00795724"/>
    <w:rsid w:val="007E0B57"/>
    <w:rsid w:val="007E60B1"/>
    <w:rsid w:val="00830A0B"/>
    <w:rsid w:val="00884B83"/>
    <w:rsid w:val="00893F92"/>
    <w:rsid w:val="008A6D2E"/>
    <w:rsid w:val="008B64C1"/>
    <w:rsid w:val="008C3F62"/>
    <w:rsid w:val="008E62F9"/>
    <w:rsid w:val="00917279"/>
    <w:rsid w:val="0092526A"/>
    <w:rsid w:val="00964815"/>
    <w:rsid w:val="009666CF"/>
    <w:rsid w:val="0098653B"/>
    <w:rsid w:val="009B2599"/>
    <w:rsid w:val="009D192D"/>
    <w:rsid w:val="009E3499"/>
    <w:rsid w:val="009E7F6A"/>
    <w:rsid w:val="009F7473"/>
    <w:rsid w:val="00A1307F"/>
    <w:rsid w:val="00A164F4"/>
    <w:rsid w:val="00AB45B3"/>
    <w:rsid w:val="00AB618C"/>
    <w:rsid w:val="00AB77AA"/>
    <w:rsid w:val="00B35F93"/>
    <w:rsid w:val="00B46355"/>
    <w:rsid w:val="00B94F59"/>
    <w:rsid w:val="00B961FB"/>
    <w:rsid w:val="00BA1326"/>
    <w:rsid w:val="00BB6312"/>
    <w:rsid w:val="00BB7625"/>
    <w:rsid w:val="00BF64D6"/>
    <w:rsid w:val="00C032FC"/>
    <w:rsid w:val="00C21C77"/>
    <w:rsid w:val="00D03886"/>
    <w:rsid w:val="00D06856"/>
    <w:rsid w:val="00D1551A"/>
    <w:rsid w:val="00D6392F"/>
    <w:rsid w:val="00D67BEE"/>
    <w:rsid w:val="00DB0046"/>
    <w:rsid w:val="00DC6D70"/>
    <w:rsid w:val="00DE5DC7"/>
    <w:rsid w:val="00E32573"/>
    <w:rsid w:val="00E641BB"/>
    <w:rsid w:val="00E84517"/>
    <w:rsid w:val="00E84FB6"/>
    <w:rsid w:val="00E9737D"/>
    <w:rsid w:val="00ED2234"/>
    <w:rsid w:val="00EF1355"/>
    <w:rsid w:val="00F1187A"/>
    <w:rsid w:val="00F1448F"/>
    <w:rsid w:val="00F52EF0"/>
    <w:rsid w:val="00F60892"/>
    <w:rsid w:val="00F96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8984A-50F1-4F40-847B-23AD9778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26BF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226BFE"/>
    <w:pPr>
      <w:keepNext/>
      <w:outlineLvl w:val="1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6BF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26B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6BF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26BF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26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6BFE"/>
  </w:style>
  <w:style w:type="paragraph" w:styleId="Nagwek">
    <w:name w:val="header"/>
    <w:basedOn w:val="Normalny"/>
    <w:link w:val="NagwekZnak"/>
    <w:uiPriority w:val="99"/>
    <w:rsid w:val="00226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6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26BFE"/>
    <w:pPr>
      <w:ind w:firstLine="708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6B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Arial20">
    <w:name w:val="Tytul Arial 20"/>
    <w:basedOn w:val="Nagwek2"/>
    <w:link w:val="TytulArial20Znak"/>
    <w:qFormat/>
    <w:rsid w:val="00226BFE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226BFE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226BFE"/>
    <w:rPr>
      <w:rFonts w:ascii="Arial" w:eastAsia="Times New Roman" w:hAnsi="Arial" w:cs="Arial"/>
      <w:b/>
      <w:bCs/>
      <w:color w:val="92D050"/>
      <w:sz w:val="40"/>
      <w:szCs w:val="40"/>
    </w:rPr>
  </w:style>
  <w:style w:type="character" w:customStyle="1" w:styleId="PodtytulArial14Znak">
    <w:name w:val="Podtytul Arial 14 Znak"/>
    <w:basedOn w:val="TytulArial20Znak"/>
    <w:link w:val="PodtytulArial14"/>
    <w:rsid w:val="00226BFE"/>
    <w:rPr>
      <w:rFonts w:ascii="Arial" w:eastAsia="Times New Roman" w:hAnsi="Arial" w:cs="Arial"/>
      <w:b/>
      <w:bCs/>
      <w:color w:val="92D05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BFE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7E0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ronaTytuowaAutorzy">
    <w:name w:val="Strona Tytułowa Autorzy"/>
    <w:qFormat/>
    <w:rsid w:val="001D163D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eastAsia="pl-PL"/>
    </w:rPr>
  </w:style>
  <w:style w:type="paragraph" w:customStyle="1" w:styleId="StronaTytuowaTytu">
    <w:name w:val="Strona Tytułowa Tytuł"/>
    <w:qFormat/>
    <w:rsid w:val="001D163D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szCs w:val="24"/>
      <w:lang w:eastAsia="pl-PL"/>
    </w:rPr>
  </w:style>
  <w:style w:type="paragraph" w:customStyle="1" w:styleId="StronaTytuowaCopyright">
    <w:name w:val="Strona Tytułowa Copyright"/>
    <w:basedOn w:val="Normalny"/>
    <w:qFormat/>
    <w:rsid w:val="001D163D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8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33B96708-73C1-46DE-9FB6-9033AD8A9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114B4E-47F8-4F97-AB0C-191D6E858C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FBEA9-EB77-4884-8E55-A6C8C4631AFE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k.radziminska</dc:creator>
  <cp:lastModifiedBy>Użytkownik systemu Windows</cp:lastModifiedBy>
  <cp:revision>2</cp:revision>
  <dcterms:created xsi:type="dcterms:W3CDTF">2025-09-09T12:01:00Z</dcterms:created>
  <dcterms:modified xsi:type="dcterms:W3CDTF">2025-09-09T12:01:00Z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